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w:cs="Arial" w:eastAsia="Arial" w:hAnsi="Arial"/>
          <w:color w:val="000000"/>
          <w:sz w:val="24"/>
          <w:szCs w:val="24"/>
        </w:rPr>
      </w:pPr>
      <w:r w:rsidDel="00000000" w:rsidR="00000000" w:rsidRPr="00000000">
        <w:rPr>
          <w:rFonts w:ascii="Arial" w:cs="Arial" w:eastAsia="Arial" w:hAnsi="Arial"/>
          <w:b w:val="1"/>
          <w:bCs w:val="1"/>
          <w:color w:val="000000"/>
          <w:sz w:val="24"/>
          <w:szCs w:val="24"/>
          <w:rtl w:val="0"/>
        </w:rPr>
        <w:t xml:space="preserve">TÜRKİYE GÜREŞ FEDERASYONU BAŞKANLIĞI</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2026 YILI MİNİKLER 13 YAŞ KADINLAR GÜREŞ TÜRKİYE ŞAMPİYONASI TALİMATI</w:t>
      </w:r>
    </w:p>
    <w:p w:rsidR="00000000" w:rsidDel="00000000" w:rsidP="00000000" w:rsidRDefault="00000000" w:rsidRPr="00000000" w14:paraId="00000003">
      <w:pPr>
        <w:spacing w:after="0" w:line="240" w:lineRule="auto"/>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1 – TÜRKİYE ŞAMPİYONASINA KATILIM KRİTERLERİ</w:t>
      </w: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İller, düzenledikleri il seçme müsabakaları sonucunda kendilerine tahsis edilen sporcu kontenjanı kadar Türkiye Şampiyonasına katılım sağlayabilirler.</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Müsabakalara katılacak sporcular için her yaş kategorisine ilişkin ayrı onay belgesi düzenlenecek olup, söz konusu belgelerde sporcuların doğum tarihleri açık ve eksiksiz olarak belirtilecektir.</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Minikler 13 Yaş Türkiye Şampiyonasına katılacak tüm sporcuların, Federasyon Bilgi Sistemine kayıtlarının yapılmış olması zorunludur. Kaydolmayan sporcular kesinlikle şampiyonaya alınmayacaktır.</w:t>
      </w:r>
      <w:r w:rsidDel="00000000" w:rsidR="00000000" w:rsidRPr="00000000">
        <w:rPr>
          <w:rtl w:val="0"/>
        </w:rPr>
      </w:r>
    </w:p>
    <w:p w:rsidR="00000000" w:rsidDel="00000000" w:rsidP="00000000" w:rsidRDefault="00000000" w:rsidRPr="00000000" w14:paraId="0000000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2 – MÜSABAKA PROGRAMI, LİSANS, YAŞ VE TOLERANS</w:t>
      </w:r>
    </w:p>
    <w:p w:rsidR="00000000" w:rsidDel="00000000" w:rsidP="00000000" w:rsidRDefault="00000000" w:rsidRPr="00000000" w14:paraId="0000000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2013 doğumlu (13) yaşındaki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sporcular katılabilecektir.</w:t>
      </w:r>
    </w:p>
    <w:p w:rsidR="00000000" w:rsidDel="00000000" w:rsidP="00000000" w:rsidRDefault="00000000" w:rsidRPr="00000000" w14:paraId="0000000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Teknik toplantı,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Pazartesi günü saat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14.00-14.30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ve malzeme dağıtımı,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20 Temmuz</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Pazartesi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13 Yaş 16:30-17:00</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arasında yapılacaktır.</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21-22 Temmuz 2026</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tarihleri arasında gerçekleştirilecektir.</w:t>
      </w:r>
    </w:p>
    <w:p w:rsidR="00000000" w:rsidDel="00000000" w:rsidP="00000000" w:rsidRDefault="00000000" w:rsidRPr="00000000" w14:paraId="0000000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 sırasında sporcuların, 2027 yılı vizeli lisansları ile T.C. Kimlik Kartı veya geçerlilik süresi dolmamış pasaport belgelerinden en az birini ibraz etmeleri zorunludur. Tahrifat yapılmış lisans ve kimlik belgeleri kabul edilmeyecektir.</w:t>
      </w:r>
    </w:p>
    <w:p w:rsidR="00000000" w:rsidDel="00000000" w:rsidP="00000000" w:rsidRDefault="00000000" w:rsidRPr="00000000" w14:paraId="0000000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kilo toleransı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UWW Challenge (Video İnceleme) Sistemi </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uygulanmayacaktır.</w:t>
      </w:r>
    </w:p>
    <w:p w:rsidR="00000000" w:rsidDel="00000000" w:rsidP="00000000" w:rsidRDefault="00000000" w:rsidRPr="00000000" w14:paraId="00000011">
      <w:pPr>
        <w:numPr>
          <w:ilvl w:val="0"/>
          <w:numId w:val="14"/>
        </w:numPr>
        <w:spacing w:after="0" w:lineRule="auto"/>
        <w:ind w:left="283.46456692913375" w:hanging="283.46456692913375"/>
        <w:rPr>
          <w:rFonts w:ascii="Arial" w:cs="Arial" w:eastAsia="Arial" w:hAnsi="Arial"/>
        </w:rPr>
      </w:pPr>
      <w:r w:rsidDel="00000000" w:rsidR="00000000" w:rsidRPr="00000000">
        <w:rPr>
          <w:rFonts w:ascii="Arial" w:cs="Arial" w:eastAsia="Arial" w:hAnsi="Arial"/>
          <w:rtl w:val="0"/>
        </w:rPr>
        <w:t xml:space="preserve">11 ve 12 Yaş kategorisinde 73 kg sıkleti bulunmadığından, 11 ve 12 yaşındaki (2014 ve 2015 doğumlu)  sporcular, doktor raporu ibraz etmeleri kaydıyla sadece 13 Yaş kategorisinin 73 kg sıkletinde güreşebilir.</w:t>
      </w:r>
      <w:r w:rsidDel="00000000" w:rsidR="00000000" w:rsidRPr="00000000">
        <w:rPr>
          <w:rtl w:val="0"/>
        </w:rPr>
      </w:r>
    </w:p>
    <w:p w:rsidR="00000000" w:rsidDel="00000000" w:rsidP="00000000" w:rsidRDefault="00000000" w:rsidRPr="00000000" w14:paraId="00000012">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3">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3 – ŞAMPİYONAYA KATILACAK SPORCULARDA ARANACAK ŞARTLAR</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olmak.</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Türkiye Cumhuriyeti vatandaşı olmayan sporcuların, Türkiye Cumhuriyeti vatandaşlığına başvuru yapmış olmaları veya geçerli oturma iznine sahip bulunmaları ve ilgili mevzuata uygun şekilde lisanslarının düzenlenmiş olması şartıyla şampiyonaya katılmalarına izin verilecektir.</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Sporcuların, temsil edecekleri kulüp adına ilgili sezon için sözleşmelerini yapmış olmaları ve Sporcu Lisans, Tescil, Vize ve Transfer Talimatı hükümlerine uygun lisansa sahip bulunmaları zorunludur.</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Herhangi bir nedenle müsabakalara katılmaktan men cezası almamış olmak.</w:t>
      </w:r>
    </w:p>
    <w:p w:rsidR="00000000" w:rsidDel="00000000" w:rsidP="00000000" w:rsidRDefault="00000000" w:rsidRPr="00000000" w14:paraId="00000018">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9">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4 – MALİ HÜKÜMLER</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Şampiyonaya katılan sporcu, antrenör ve kafile başkanlarının; yol, konaklama ve harcırah giderleri, lisanslı bulundukları il müdürlükleri tarafından karşılanacaktır.</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görev yapacak hakemler ile diğer görevlilerin kanuni harcırahları ve Gençlik ve Spor İl Müdürlüklerine ait salonlarda görev yapan personelin (il temsilcisi ve sağlık personeli hariç olmak üzere en fazla 10 kişi) ücretleri, yürürlükte bulunan mevzuat hükümleri doğrultusunda Türkiye Güreş Federasyonu tarafından karşılanacaktır.</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süresince görev alanında fiilen bulunmayan personele herhangi bir ücret ödemesi yapılmayacaktır.</w:t>
      </w:r>
    </w:p>
    <w:p w:rsidR="00000000" w:rsidDel="00000000" w:rsidP="00000000" w:rsidRDefault="00000000" w:rsidRPr="00000000" w14:paraId="0000001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1E">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5 – ÖDÜLLER</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Tartıya giren her sporcuya Türkiye Güreş Federasyonu Başkanlığı tarafından 1 takım eşofman, 2 adet tişört, 1 adet şort, 1 takım güreş mayosu ve 1 adet çanta verilecektir.</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2026 Yılı Minikler 13 Yaş Kadınlar Güreş Türkiye Şampiyonasında sıkletlerinde birinci, ikinci, üçüncü, üçüncü, beşinci ve beşinci olan sporculara Türkiye Güreş Federasyonu tarafından madalya verilecektir.</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Şampiyona sonunda en fazla puan toplayan ilk üç kulübe takım şilti takdim edilecektir.</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Takım sıralaması, UWW kuralları doğrultusunda sporcuların sıkletlerinde elde ettikleri derecelere karşılık gelen puanlar esas alınarak belirlenecektir.</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sıklette bir kulüpten birden fazla sporcunun derece elde etmesi halinde yalnızca en yüksek dereceyi elde eden sporcunun puanı takım tasnifine dahil edilecek, diğer sporcular için puan kaydırması yapılmayacaktır.</w:t>
      </w:r>
    </w:p>
    <w:p w:rsidR="00000000" w:rsidDel="00000000" w:rsidP="00000000" w:rsidRDefault="00000000" w:rsidRPr="00000000" w14:paraId="00000024">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5">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6 – SORUMLULUKLAR VE CEZAİ HÜKÜMLER</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 süresince görev yapan Federasyon Temsilcisi, Hakem, İdareci, Antrenör, Sporcu ve kafilelerde yer alan diğer görevliler ile müsabaka salonunda görevli tüm personel, Türkiye Güreş Federasyonu tarafından belirlenen kurallara ve talimat hükümlerine uymak zorundadır.</w:t>
      </w:r>
    </w:p>
    <w:p w:rsidR="00000000" w:rsidDel="00000000" w:rsidP="00000000" w:rsidRDefault="00000000" w:rsidRPr="00000000" w14:paraId="0000002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hükümlerine aykırı davranan kişiler hakkında, Türkiye Güreş Federasyonu Disiplin Talimatı hükümleri uygulanır.</w:t>
      </w:r>
    </w:p>
    <w:p w:rsidR="00000000" w:rsidDel="00000000" w:rsidP="00000000" w:rsidRDefault="00000000" w:rsidRPr="00000000" w14:paraId="0000002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alanında bulunan tüm kişiler, Türkiye Güreş Federasyonunun kurumsal itibarını ve saygınlığını zedeleyici davranışlardan kaçınmakla yükümlüdür.</w:t>
      </w:r>
    </w:p>
    <w:p w:rsidR="00000000" w:rsidDel="00000000" w:rsidP="00000000" w:rsidRDefault="00000000" w:rsidRPr="00000000" w14:paraId="00000029">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2A">
      <w:pPr>
        <w:spacing w:after="0" w:line="240" w:lineRule="auto"/>
        <w:jc w:val="both"/>
        <w:rPr>
          <w:rFonts w:ascii="Arial" w:cs="Arial" w:eastAsia="Arial" w:hAnsi="Arial"/>
          <w:color w:val="000000"/>
        </w:rPr>
      </w:pPr>
      <w:r w:rsidDel="00000000" w:rsidR="00000000" w:rsidRPr="00000000">
        <w:rPr>
          <w:rFonts w:ascii="Arial" w:cs="Arial" w:eastAsia="Arial" w:hAnsi="Arial"/>
          <w:b w:val="1"/>
          <w:bCs w:val="1"/>
          <w:color w:val="000000"/>
          <w:rtl w:val="0"/>
        </w:rPr>
        <w:t xml:space="preserve">MADDE 7 – ANTRENÖRLERİN UYMAK ZORUNDA OLDUĞU KURALLAR</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ve yardımcı antrenörler, müsabaka öncesinde sporcularını müsabaka kurallarına uygun şekilde hazırlamak ve ilgili köşede hazır bulundurmakla yükümlüdür.</w:t>
      </w:r>
    </w:p>
    <w:p w:rsidR="00000000" w:rsidDel="00000000" w:rsidP="00000000" w:rsidRDefault="00000000" w:rsidRPr="00000000" w14:paraId="0000002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eşofman, tişört ve spor ayakkabısından oluşan sportif kıyafet haricinde şort, terlik ve sivil kıyafetlerle sporcu köşelerine ve müsabaka alanına giriş yapamazlar.</w:t>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sırasında yalnızca eşofman, tişört, spor ayakkabısı ve havlu ile görev yapabilirler.</w:t>
      </w:r>
    </w:p>
    <w:p w:rsidR="00000000" w:rsidDel="00000000" w:rsidP="00000000" w:rsidRDefault="00000000" w:rsidRPr="00000000" w14:paraId="0000002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itiraz uygulamasının yürürlükte olduğu müsabakalarda antrenörler, itirazlarını yürürlükteki kurallara uygun şekilde yapmak zorundadır. Süresi içerisinde yapılmayan itirazlar değerlendirmeye alınmaz.</w:t>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sporcularının müsabaka sonunda rakibi ve görevli hakemlerle tokalaşmadan müsabaka alanını terk etmemelerini sağlamakla yükümlüdür.</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tartı, kura, müsabaka programı ve organizasyona ilişkin tüm duyuruları takip etmek zorundadır.</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müsabaka öncesinde, sırasında ve sonrasında rakip takım sporcularına veya kendi sporcularına karşı centilmenlik dışı davranışlarda bulunamazlar.</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sporculara veya diğer görevlilere karşı tokat, yumruk, itme, azarlama ve benzeri şiddet içerikli davranışlarda bulunamazlar.</w:t>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Antrenörler, madalya törenlerinde sporcularını uygun seremoni kıyafeti ile hazır bulundurmak zorundadır. Şort, terlik ve sivil kıyafetlerle seremoniye katılım sağlanamaz.</w:t>
      </w:r>
    </w:p>
    <w:p w:rsidR="00000000" w:rsidDel="00000000" w:rsidP="00000000" w:rsidRDefault="00000000" w:rsidRPr="00000000" w14:paraId="00000034">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8 – SPORCULARIN UYMAK ZORUNDA OLDUĞU KURALLAR</w:t>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kendileri için ayrılan ısınma alanlarında hazırlıklarını tamamlayarak anons edildiğinde antrenörleri eşliğinde müsabaka minderine çıkmak zorundadır.</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öncesinde, sırasında ve sonrasında görevli hakemlerin uyarılarına uymak ve sportmenlik kuralları içerisinde hareket etmek zorundadır.</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sonunda hakem, rakip sporcu ve rakip antrenör ile tokalaşmak zorundadır.</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alanını terk etmeden mayo askılarını indiremezler.</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alanında bulunan araç, gereç ve tesis malzemelerine zarar veremezler.</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müsabaka alanı ve salon içerisinde yerlere tüküremezler.</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 rakip sporculara, antrenörlere, hakemlere ve diğer görevlilere karşı sportmenlik dışı davranışlarda bulunamazlar.</w:t>
      </w:r>
      <w:r w:rsidDel="00000000" w:rsidR="00000000" w:rsidRPr="00000000">
        <w:rPr>
          <w:rtl w:val="0"/>
        </w:rPr>
      </w:r>
    </w:p>
    <w:p w:rsidR="00000000" w:rsidDel="00000000" w:rsidP="00000000" w:rsidRDefault="00000000" w:rsidRPr="00000000" w14:paraId="0000003D">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E">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F">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9 – SPORCULAR İÇİN SARI KART CEZASI GEREKTİREN DAVRANIŞLAR</w:t>
      </w:r>
    </w:p>
    <w:p w:rsidR="00000000" w:rsidDel="00000000" w:rsidP="00000000" w:rsidRDefault="00000000" w:rsidRPr="00000000" w14:paraId="0000004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alanına mayo askıları uygun şekilde takılmadan çıkması veya müsabaka alanını terk etmeden mayo askılarını indirmesi.</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sonunda rakibi, rakip antrenörü veya görevli hakem ile tokalaşmayı reddetmesi.</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yönelik kurallara aykırı el, kol veya beden hareketlerinde bulunması.</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müsabakası olmadığı hâlde müsabaka alanına girmesi.</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organizasyon kurallarına aykırı davranışlarda bulunması.</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müsabaka sırasında veya sonrasında hakem kararlarına uygunsuz şekilde itiraz etmesi.</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Sarı Kart ile cezalandırılır. Ayrıca gerekli görülmesi hâlinde Disiplin Kurulu hükümleri uygulanır.</w:t>
      </w:r>
      <w:r w:rsidDel="00000000" w:rsidR="00000000" w:rsidRPr="00000000">
        <w:rPr>
          <w:rtl w:val="0"/>
        </w:rPr>
      </w:r>
    </w:p>
    <w:p w:rsidR="00000000" w:rsidDel="00000000" w:rsidP="00000000" w:rsidRDefault="00000000" w:rsidRPr="00000000" w14:paraId="00000047">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8">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10 – SPORCULAR İÇİN KIRMIZI KART CEZASI GEREKTİREN DAVRANIŞLAR</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hakemlere, rakibine, yöneticilere, antrenörlere veya diğer görevlilere karşı hakaret, tehdit veya şiddet içeren davranışlarda bulunması.</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salon içerisinde bulunan malzeme ve ekipmanlara kasten zarar vermesi.</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seyircilere karşı genel ahlak ve spor ahlakına aykırı davranışlarda bulunması.</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alması.</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Sporcunun rakibini sakatlamaya yönelik kasıtlı ve sportmenlik dışı hareketlerde bulunması.</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sporcular Kırmızı Kart ile cezalandırılır ve haklarında Disiplin Kurulu hükümleri uygulanır.</w:t>
      </w:r>
      <w:r w:rsidDel="00000000" w:rsidR="00000000" w:rsidRPr="00000000">
        <w:rPr>
          <w:rtl w:val="0"/>
        </w:rPr>
      </w:r>
    </w:p>
    <w:p w:rsidR="00000000" w:rsidDel="00000000" w:rsidP="00000000" w:rsidRDefault="00000000" w:rsidRPr="00000000" w14:paraId="0000004F">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0">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11 – İDARECİ, ANTRENÖR VE DİĞER GÖREVLİLER İÇİN SARI KART CEZASI GEREKTİREN HALLER</w:t>
      </w:r>
    </w:p>
    <w:p w:rsidR="00000000" w:rsidDel="00000000" w:rsidP="00000000" w:rsidRDefault="00000000" w:rsidRPr="00000000" w14:paraId="0000005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Antrenörün müsabaka sonunda rakip sporcu ile tokalaşmayı reddetmesi.</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yetkisiz şekilde müsabaka alanına girmesi.</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Hakemlere yönelik uygunsuz el, kol veya beden hareketlerinde bulunulması.</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Federasyon tarafından belirlenen kıyafet kurallarına aykırı şekilde görev yapılması.</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Görevli olmadığı hâlde müsabaka alanında bulunulması.</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Hakem kararlarına kurallara aykırı şekilde müdahale edilmesi.</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Tribünde veya müsabaka alanında centilmenlik dışı davranışlarda bulunulması.</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Sporculara centilmenlik kurallarına aykırı şekilde talimat verilmesi.</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Sarı Kart ile cezalandırılır ve gerekli görülmesi hâlinde Disiplin Kurulu hükümleri uygulanır.</w:t>
      </w:r>
      <w:r w:rsidDel="00000000" w:rsidR="00000000" w:rsidRPr="00000000">
        <w:rPr>
          <w:rtl w:val="0"/>
        </w:rPr>
      </w:r>
    </w:p>
    <w:p w:rsidR="00000000" w:rsidDel="00000000" w:rsidP="00000000" w:rsidRDefault="00000000" w:rsidRPr="00000000" w14:paraId="0000005A">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5B">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12 – İDARECİ, ANTRENÖR VE DİĞER GÖREVLİLER İÇİN KIRMIZI KART CEZASI GEREKTİREN HALLER</w:t>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hakem kararlarına uymaması, hakemlere veya diğer görevlilere hakaret etmesi, tehditte bulunması ya da fiili müdahalede bulunması.</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öncesinde, sırasında veya sonrasında salon içerisinde bulunan eşya, malzeme ve tesis unsurlarına kasten zarar vermesi.</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seyircilere karşı genel ahlak ve spor ahlakına aykırı davranışlarda bulunması.</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Aynı müsabaka süresince ikinci kez Sarı Kart cezası alınması.</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İdareci, antrenör veya diğer takım görevlilerinin müsabaka sırasında veya sonrasında sporculara, hakemlere, görevlilere ya da diğer katılımcılara yönelik hakaret, saldırı veya benzeri fiillerde bulunması.</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 bitiminden sonra dahi tribünden veya salonun herhangi bir bölümünden hakaret, tehdit, saldırı, tükürme veya benzeri davranışlarda bulunulması.</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Yukarıda belirtilen veya benzeri fiilleri işleyen kişiler Kırmızı Kart ile cezalandırılır ve haklarında Türkiye Güreş Federasyonu Disiplin Talimatı hükümleri uygulanır.</w:t>
      </w:r>
      <w:r w:rsidDel="00000000" w:rsidR="00000000" w:rsidRPr="00000000">
        <w:rPr>
          <w:rtl w:val="0"/>
        </w:rPr>
      </w:r>
    </w:p>
    <w:p w:rsidR="00000000" w:rsidDel="00000000" w:rsidP="00000000" w:rsidRDefault="00000000" w:rsidRPr="00000000" w14:paraId="00000063">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4">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MADDE 13 – SARI VE KIRMIZI KART UYGULAMALARINDA CEZAİ YAPTIRIMLAR</w:t>
      </w:r>
    </w:p>
    <w:p w:rsidR="00000000" w:rsidDel="00000000" w:rsidP="00000000" w:rsidRDefault="00000000" w:rsidRPr="00000000" w14:paraId="0000006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Müsabakalarda ikinci Sarı Kart veya doğrudan Kırmızı Kart cezası alan kişilere, Disiplin Talimatı hükümleri doğrultusunda resmi müsabakalardan men cezası uygulanabilir.</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Doğrudan Kırmızı Kart ile cezalandırılan kişiler Disiplin Kuruluna sevk edilir. Disiplin Kurulu tarafından verilecek karar doğrultusunda müsabakalardan men, hak mahrumiyeti veya para cezası uygulanabilir.</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Resmî Müsabaka Adedi ile Men Cezası, Tek Şampiyonadan Men Cezası, Sürekli Müsabakalardan Men Cezası, Süreli Hak Mahrumiyeti Cezası veya Para Cezası uygulayabilir.</w:t>
      </w: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Harcırah almaya hak kazanan ancak Kırmızı Kart nedeniyle organizasyondan ihraç edilen kişiler hakkında ilgili mali mevzuat hükümleri uygulanır.</w:t>
      </w:r>
      <w:r w:rsidDel="00000000" w:rsidR="00000000" w:rsidRPr="00000000">
        <w:rPr>
          <w:rtl w:val="0"/>
        </w:rPr>
      </w:r>
    </w:p>
    <w:p w:rsidR="00000000" w:rsidDel="00000000" w:rsidP="00000000" w:rsidRDefault="00000000" w:rsidRPr="00000000" w14:paraId="0000006A">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6B">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SAHTE LİSANS KULLANIMI</w:t>
      </w:r>
    </w:p>
    <w:p w:rsidR="00000000" w:rsidDel="00000000" w:rsidP="00000000" w:rsidRDefault="00000000" w:rsidRPr="00000000" w14:paraId="0000006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Kullanma hakkı bulunmadığı hâlde lisans veya benzeri resmî belgeleri kullanarak müsabakalara katılan sporcular Disiplin Kuruluna sevk edilir.</w:t>
      </w: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Sahte, tahrif edilmiş veya başkasına ait lisans ve belgelerle müsabakalara katıldığı tespit edilen sporcular hakkında Türkiye Güreş Federasyonu Disiplin Talimatı hükümleri uygulanır.</w:t>
      </w: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Disiplin Kurulu, olayın niteliğine göre müsabakalardan men, hak mahrumiyeti ve para cezası dahil gerekli yaptırımları uygulayabilir.</w:t>
      </w:r>
      <w:r w:rsidDel="00000000" w:rsidR="00000000" w:rsidRPr="00000000">
        <w:rPr>
          <w:rtl w:val="0"/>
        </w:rPr>
      </w:r>
    </w:p>
    <w:p w:rsidR="00000000" w:rsidDel="00000000" w:rsidP="00000000" w:rsidRDefault="00000000" w:rsidRPr="00000000" w14:paraId="0000006F">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0">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SON HÜKÜMLER</w:t>
      </w:r>
    </w:p>
    <w:p w:rsidR="00000000" w:rsidDel="00000000" w:rsidP="00000000" w:rsidRDefault="00000000" w:rsidRPr="00000000" w14:paraId="0000007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hüküm bulunmayan hâllerde Türkiye Güreş Federasyonu Ana Statüsü, Türkiye Güreş Federasyonu Talimatları, UWW Kuralları ve ilgili mevzuat hükümleri uygulanır.</w:t>
      </w: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Bu talimatta yapılacak değişiklikler Türkiye Güreş Federasyonu Başkanlığının onayı ile yürürlüğe girer.</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Talimat hükümlerinin uygulanmasında ortaya çıkabilecek tereddütleri gidermeye Türkiye Güreş Federasyonu Başkanlığı yetkilidir.</w:t>
      </w:r>
      <w:r w:rsidDel="00000000" w:rsidR="00000000" w:rsidRPr="00000000">
        <w:rPr>
          <w:rtl w:val="0"/>
        </w:rPr>
      </w:r>
    </w:p>
    <w:p w:rsidR="00000000" w:rsidDel="00000000" w:rsidP="00000000" w:rsidRDefault="00000000" w:rsidRPr="00000000" w14:paraId="00000074">
      <w:pPr>
        <w:spacing w:after="0" w:line="24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5">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YÜRÜRLÜK</w:t>
      </w:r>
    </w:p>
    <w:p w:rsidR="00000000" w:rsidDel="00000000" w:rsidP="00000000" w:rsidRDefault="00000000" w:rsidRPr="00000000" w14:paraId="00000076">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Türkiye Güreş Federasyonu Başkanının onayı tarihinde yürürlüğe girer.</w:t>
      </w:r>
      <w:r w:rsidDel="00000000" w:rsidR="00000000" w:rsidRPr="00000000">
        <w:rPr>
          <w:rtl w:val="0"/>
        </w:rPr>
      </w:r>
    </w:p>
    <w:p w:rsidR="00000000" w:rsidDel="00000000" w:rsidP="00000000" w:rsidRDefault="00000000" w:rsidRPr="00000000" w14:paraId="00000077">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YÜRÜTME</w:t>
      </w:r>
    </w:p>
    <w:p w:rsidR="00000000" w:rsidDel="00000000" w:rsidP="00000000" w:rsidRDefault="00000000" w:rsidRPr="00000000" w14:paraId="00000078">
      <w:pPr>
        <w:spacing w:after="0" w:line="240" w:lineRule="auto"/>
        <w:jc w:val="both"/>
        <w:rPr>
          <w:rFonts w:ascii="Arial" w:cs="Arial" w:eastAsia="Arial" w:hAnsi="Arial"/>
          <w:b w:val="1"/>
          <w:bCs w:val="1"/>
          <w:color w:val="000000"/>
        </w:rPr>
      </w:pPr>
      <w:r w:rsidDel="00000000" w:rsidR="00000000" w:rsidRPr="00000000">
        <w:rPr>
          <w:rFonts w:ascii="Arial" w:cs="Arial" w:eastAsia="Arial" w:hAnsi="Arial"/>
          <w:color w:val="000000"/>
          <w:rtl w:val="0"/>
        </w:rPr>
        <w:t xml:space="preserve">Bu Talimat hükümlerini Türkiye Güreş Federasyonu Başkanı yürütür.</w:t>
      </w:r>
      <w:r w:rsidDel="00000000" w:rsidR="00000000" w:rsidRPr="00000000">
        <w:rPr>
          <w:rtl w:val="0"/>
        </w:rPr>
      </w:r>
    </w:p>
    <w:p w:rsidR="00000000" w:rsidDel="00000000" w:rsidP="00000000" w:rsidRDefault="00000000" w:rsidRPr="00000000" w14:paraId="00000079">
      <w:pPr>
        <w:spacing w:after="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7A">
      <w:pP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Taha AKGÜL</w:t>
        <w:br w:type="textWrapping"/>
        <w:t xml:space="preserve">Türkiye Güreş Federasyonu Başkanı</w:t>
      </w:r>
      <w:r w:rsidDel="00000000" w:rsidR="00000000" w:rsidRPr="00000000">
        <w:br w:type="page"/>
      </w:r>
      <w:r w:rsidDel="00000000" w:rsidR="00000000" w:rsidRPr="00000000">
        <w:rPr>
          <w:rtl w:val="0"/>
        </w:rPr>
      </w:r>
    </w:p>
    <w:p w:rsidR="00000000" w:rsidDel="00000000" w:rsidP="00000000" w:rsidRDefault="00000000" w:rsidRPr="00000000" w14:paraId="0000007B">
      <w:pPr>
        <w:spacing w:after="20" w:lineRule="auto"/>
        <w:rPr>
          <w:rFonts w:ascii="Arial" w:cs="Arial" w:eastAsia="Arial" w:hAnsi="Arial"/>
          <w:b w:val="1"/>
          <w:bCs w:val="1"/>
          <w:i w:val="1"/>
          <w:iCs w:val="1"/>
          <w:u w:val="single"/>
        </w:rPr>
      </w:pPr>
      <w:r w:rsidDel="00000000" w:rsidR="00000000" w:rsidRPr="00000000">
        <w:rPr>
          <w:rFonts w:ascii="Arial" w:cs="Arial" w:eastAsia="Arial" w:hAnsi="Arial"/>
          <w:b w:val="1"/>
          <w:bCs w:val="1"/>
          <w:i w:val="1"/>
          <w:iCs w:val="1"/>
          <w:u w:val="single"/>
          <w:rtl w:val="0"/>
        </w:rPr>
        <w:t xml:space="preserve">KADINLAR</w:t>
      </w:r>
    </w:p>
    <w:p w:rsidR="00000000" w:rsidDel="00000000" w:rsidP="00000000" w:rsidRDefault="00000000" w:rsidRPr="00000000" w14:paraId="0000007C">
      <w:pPr>
        <w:spacing w:after="2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7D">
      <w:pPr>
        <w:spacing w:after="20" w:lineRule="auto"/>
        <w:rPr>
          <w:rFonts w:ascii="Arial" w:cs="Arial" w:eastAsia="Arial" w:hAnsi="Arial"/>
          <w:b w:val="1"/>
          <w:bCs w:val="1"/>
        </w:rPr>
      </w:pPr>
      <w:r w:rsidDel="00000000" w:rsidR="00000000" w:rsidRPr="00000000">
        <w:rPr>
          <w:rFonts w:ascii="Arial" w:cs="Arial" w:eastAsia="Arial" w:hAnsi="Arial"/>
          <w:b w:val="1"/>
          <w:bCs w:val="1"/>
          <w:rtl w:val="0"/>
        </w:rPr>
        <w:t xml:space="preserve">İller, düzenledikleri il seçme müsabakaları sonucunda kendilerine tahsis</w:t>
      </w:r>
    </w:p>
    <w:p w:rsidR="00000000" w:rsidDel="00000000" w:rsidP="00000000" w:rsidRDefault="00000000" w:rsidRPr="00000000" w14:paraId="0000007E">
      <w:pPr>
        <w:spacing w:after="20" w:lineRule="auto"/>
        <w:rPr>
          <w:rFonts w:ascii="Arial" w:cs="Arial" w:eastAsia="Arial" w:hAnsi="Arial"/>
          <w:b w:val="1"/>
          <w:bCs w:val="1"/>
        </w:rPr>
      </w:pPr>
      <w:r w:rsidDel="00000000" w:rsidR="00000000" w:rsidRPr="00000000">
        <w:rPr>
          <w:rFonts w:ascii="Arial" w:cs="Arial" w:eastAsia="Arial" w:hAnsi="Arial"/>
          <w:b w:val="1"/>
          <w:bCs w:val="1"/>
          <w:rtl w:val="0"/>
        </w:rPr>
        <w:t xml:space="preserve">edilen sporcu kontenjanı sayısı kadar Türkiye Şampiyonasına katılabilir.</w:t>
      </w:r>
    </w:p>
    <w:p w:rsidR="00000000" w:rsidDel="00000000" w:rsidP="00000000" w:rsidRDefault="00000000" w:rsidRPr="00000000" w14:paraId="0000007F">
      <w:pPr>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tbl>
      <w:tblPr>
        <w:tblStyle w:val="Table1"/>
        <w:tblW w:w="1007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86.2127659574468"/>
        <w:gridCol w:w="1129.531914893617"/>
        <w:gridCol w:w="586.2127659574468"/>
        <w:gridCol w:w="1072.3404255319151"/>
        <w:gridCol w:w="586.2127659574468"/>
        <w:gridCol w:w="1072.3404255319151"/>
        <w:gridCol w:w="586.2127659574468"/>
        <w:gridCol w:w="1072.3404255319151"/>
        <w:gridCol w:w="586.2127659574468"/>
        <w:gridCol w:w="1072.3404255319151"/>
        <w:gridCol w:w="586.2127659574468"/>
        <w:gridCol w:w="1072.3404255319151"/>
        <w:gridCol w:w="71.48936170212767"/>
        <w:tblGridChange w:id="0">
          <w:tblGrid>
            <w:gridCol w:w="586.2127659574468"/>
            <w:gridCol w:w="1129.531914893617"/>
            <w:gridCol w:w="586.2127659574468"/>
            <w:gridCol w:w="1072.3404255319151"/>
            <w:gridCol w:w="586.2127659574468"/>
            <w:gridCol w:w="1072.3404255319151"/>
            <w:gridCol w:w="586.2127659574468"/>
            <w:gridCol w:w="1072.3404255319151"/>
            <w:gridCol w:w="586.2127659574468"/>
            <w:gridCol w:w="1072.3404255319151"/>
            <w:gridCol w:w="586.2127659574468"/>
            <w:gridCol w:w="1072.3404255319151"/>
            <w:gridCol w:w="71.48936170212767"/>
          </w:tblGrid>
        </w:tblGridChange>
      </w:tblGrid>
      <w:tr>
        <w:trPr>
          <w:cantSplit w:val="0"/>
          <w:trHeight w:val="810" w:hRule="atLeast"/>
          <w:tblHeader w:val="0"/>
        </w:trPr>
        <w:tc>
          <w:tcPr>
            <w:gridSpan w:val="13"/>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vAlign w:val="top"/>
          </w:tcPr>
          <w:p w:rsidR="00000000" w:rsidDel="00000000" w:rsidP="00000000" w:rsidRDefault="00000000" w:rsidRPr="00000000" w14:paraId="00000080">
            <w:pPr>
              <w:spacing w:after="0" w:lineRule="auto"/>
              <w:jc w:val="center"/>
              <w:rPr>
                <w:rFonts w:ascii="Arial" w:cs="Arial" w:eastAsia="Arial" w:hAnsi="Arial"/>
                <w:b w:val="1"/>
                <w:bCs w:val="1"/>
                <w:u w:val="single"/>
              </w:rPr>
            </w:pPr>
            <w:r w:rsidDel="00000000" w:rsidR="00000000" w:rsidRPr="00000000">
              <w:rPr>
                <w:rFonts w:ascii="Arial" w:cs="Arial" w:eastAsia="Arial" w:hAnsi="Arial"/>
                <w:b w:val="1"/>
                <w:bCs w:val="1"/>
                <w:rtl w:val="0"/>
              </w:rPr>
              <w:t xml:space="preserve">MİNİKLER TÜRKİYE GÜREŞ ŞAMPİYONASI</w:t>
              <w:br w:type="textWrapping"/>
              <w:t xml:space="preserve"> </w:t>
            </w:r>
            <w:r w:rsidDel="00000000" w:rsidR="00000000" w:rsidRPr="00000000">
              <w:rPr>
                <w:rFonts w:ascii="Arial" w:cs="Arial" w:eastAsia="Arial" w:hAnsi="Arial"/>
                <w:b w:val="1"/>
                <w:bCs w:val="1"/>
                <w:u w:val="single"/>
                <w:rtl w:val="0"/>
              </w:rPr>
              <w:t xml:space="preserve">KADINLAR</w:t>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8D">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8,9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8F">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10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1">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11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3">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12 yaş</w:t>
            </w:r>
          </w:p>
        </w:tc>
        <w:tc>
          <w:tcPr>
            <w:gridSpan w:val="2"/>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5">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13 yaş</w:t>
            </w:r>
          </w:p>
        </w:tc>
        <w:tc>
          <w:tcPr>
            <w:gridSpan w:val="3"/>
            <w:tcBorders>
              <w:top w:color="000000" w:space="0" w:sz="0" w:val="nil"/>
              <w:left w:color="000000" w:space="0" w:sz="0" w:val="nil"/>
              <w:bottom w:color="000000" w:space="0" w:sz="6" w:val="single"/>
              <w:right w:color="000000" w:space="0" w:sz="6" w:val="single"/>
            </w:tcBorders>
            <w:shd w:fill="ffc000" w:val="clear"/>
            <w:tcMar>
              <w:top w:w="0.0" w:type="dxa"/>
              <w:left w:w="80.0" w:type="dxa"/>
              <w:bottom w:w="0.0" w:type="dxa"/>
              <w:right w:w="80.0" w:type="dxa"/>
            </w:tcMar>
            <w:vAlign w:val="top"/>
          </w:tcPr>
          <w:p w:rsidR="00000000" w:rsidDel="00000000" w:rsidP="00000000" w:rsidRDefault="00000000" w:rsidRPr="00000000" w14:paraId="00000097">
            <w:pPr>
              <w:spacing w:after="0" w:lineRule="auto"/>
              <w:jc w:val="cente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14 yaş</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9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9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9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9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9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9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A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A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6" w:val="single"/>
              <w:right w:color="000000" w:space="0" w:sz="6" w:val="single"/>
            </w:tcBorders>
            <w:shd w:fill="61cbf3" w:val="clear"/>
            <w:tcMar>
              <w:top w:w="0.0" w:type="dxa"/>
              <w:left w:w="80.0" w:type="dxa"/>
              <w:bottom w:w="0.0" w:type="dxa"/>
              <w:right w:w="80.0" w:type="dxa"/>
            </w:tcMar>
            <w:vAlign w:val="top"/>
          </w:tcPr>
          <w:p w:rsidR="00000000" w:rsidDel="00000000" w:rsidP="00000000" w:rsidRDefault="00000000" w:rsidRPr="00000000" w14:paraId="000000A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S.N</w:t>
            </w:r>
          </w:p>
        </w:tc>
        <w:tc>
          <w:tcPr>
            <w:tcBorders>
              <w:top w:color="000000" w:space="0" w:sz="0" w:val="nil"/>
              <w:left w:color="000000" w:space="0" w:sz="0" w:val="nil"/>
              <w:bottom w:color="000000" w:space="0" w:sz="6" w:val="single"/>
              <w:right w:color="000000" w:space="0" w:sz="6" w:val="single"/>
            </w:tcBorders>
            <w:shd w:fill="44b3e1" w:val="clear"/>
            <w:tcMar>
              <w:top w:w="0.0" w:type="dxa"/>
              <w:left w:w="80.0" w:type="dxa"/>
              <w:bottom w:w="0.0" w:type="dxa"/>
              <w:right w:w="80.0" w:type="dxa"/>
            </w:tcMar>
            <w:vAlign w:val="top"/>
          </w:tcPr>
          <w:p w:rsidR="00000000" w:rsidDel="00000000" w:rsidP="00000000" w:rsidRDefault="00000000" w:rsidRPr="00000000" w14:paraId="000000A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SIKLET</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A6">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21 -24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25-27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A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25-27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A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27-30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A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33-36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B3">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B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B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C0">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02.37304687500006"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C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CD">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C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D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DA">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D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E7">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35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E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EF">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F4">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39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B">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C">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0F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0F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01">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43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50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8">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9">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A">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B">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0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0E">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0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4">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5">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6">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7">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8">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1A">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1B">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C">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D">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54 kg</w:t>
            </w:r>
          </w:p>
        </w:tc>
        <w:tc>
          <w:tcPr>
            <w:gridSpan w:val="2"/>
            <w:vMerge w:val="restart"/>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1E">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0">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1">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58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2">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3">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62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4">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5">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6">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10</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7">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73 kg</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28">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r>
        <w:trPr>
          <w:cantSplit w:val="0"/>
          <w:trHeight w:val="31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9">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gridSpan w:val="2"/>
            <w:vMerge w:val="continue"/>
            <w:tcBorders>
              <w:top w:color="000000" w:space="0" w:sz="0" w:val="nil"/>
              <w:left w:color="000000" w:space="0" w:sz="0" w:val="nil"/>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2B">
            <w:pPr>
              <w:spacing w:after="0" w:lineRule="auto"/>
              <w:rPr>
                <w:rFonts w:ascii="Times New Roman" w:cs="Times New Roman" w:eastAsia="Times New Roman" w:hAnsi="Times New Roman"/>
                <w:b w:val="1"/>
                <w:bCs w:val="1"/>
                <w:sz w:val="24"/>
                <w:szCs w:val="24"/>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D">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2E">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2F">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30">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66 kg</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31">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11</w:t>
            </w:r>
          </w:p>
        </w:tc>
        <w:tc>
          <w:tcPr>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bottom"/>
          </w:tcPr>
          <w:p w:rsidR="00000000" w:rsidDel="00000000" w:rsidP="00000000" w:rsidRDefault="00000000" w:rsidRPr="00000000" w14:paraId="0000013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73 kg</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80.0" w:type="dxa"/>
              <w:bottom w:w="0.0" w:type="dxa"/>
              <w:right w:w="80.0" w:type="dxa"/>
            </w:tcMar>
            <w:vAlign w:val="top"/>
          </w:tcPr>
          <w:p w:rsidR="00000000" w:rsidDel="00000000" w:rsidP="00000000" w:rsidRDefault="00000000" w:rsidRPr="00000000" w14:paraId="00000133">
            <w:pPr>
              <w:spacing w:after="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135">
            <w:pPr>
              <w:spacing w:after="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tc>
      </w:tr>
    </w:tbl>
    <w:p w:rsidR="00000000" w:rsidDel="00000000" w:rsidP="00000000" w:rsidRDefault="00000000" w:rsidRPr="00000000" w14:paraId="00000136">
      <w:pPr>
        <w:spacing w:after="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7">
      <w:pPr>
        <w:spacing w:after="0" w:lineRule="auto"/>
        <w:rPr>
          <w:rFonts w:ascii="Arial" w:cs="Arial" w:eastAsia="Arial" w:hAnsi="Arial"/>
          <w:b w:val="1"/>
          <w:bCs w:val="1"/>
          <w:i w:val="1"/>
          <w:iCs w:val="1"/>
          <w:u w:val="single"/>
        </w:rPr>
      </w:pPr>
      <w:r w:rsidDel="00000000" w:rsidR="00000000" w:rsidRPr="00000000">
        <w:rPr>
          <w:rFonts w:ascii="Arial" w:cs="Arial" w:eastAsia="Arial" w:hAnsi="Arial"/>
          <w:b w:val="1"/>
          <w:bCs w:val="1"/>
          <w:rtl w:val="0"/>
        </w:rPr>
        <w:t xml:space="preserve">NOT: TÜM YAŞ KATEGORİLERİNDE </w:t>
      </w:r>
      <w:r w:rsidDel="00000000" w:rsidR="00000000" w:rsidRPr="00000000">
        <w:rPr>
          <w:rFonts w:ascii="Arial" w:cs="Arial" w:eastAsia="Arial" w:hAnsi="Arial"/>
          <w:b w:val="1"/>
          <w:bCs w:val="1"/>
          <w:i w:val="1"/>
          <w:iCs w:val="1"/>
          <w:u w:val="single"/>
          <w:rtl w:val="0"/>
        </w:rPr>
        <w:t xml:space="preserve">TOLERANS UYGULANMAYACAKTIR.</w:t>
      </w:r>
    </w:p>
    <w:p w:rsidR="00000000" w:rsidDel="00000000" w:rsidP="00000000" w:rsidRDefault="00000000" w:rsidRPr="00000000" w14:paraId="00000138">
      <w:pPr>
        <w:spacing w:after="0" w:lineRule="auto"/>
        <w:rPr>
          <w:rFonts w:ascii="Arial" w:cs="Arial" w:eastAsia="Arial" w:hAnsi="Arial"/>
          <w:b w:val="1"/>
          <w:bCs w:val="1"/>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3"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2"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pict>
        <v:shape id="WordPictureWatermark1" style="position:absolute;width:503.65pt;height:589.2999212598424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b w:val="1"/>
        <w:bCs w:val="1"/>
        <w:sz w:val="24"/>
        <w:szCs w:val="24"/>
      </w:rPr>
    </w:lvl>
    <w:lvl w:ilvl="1">
      <w:start w:val="1"/>
      <w:numFmt w:val="decimal"/>
      <w:lvlText w:val="%2)"/>
      <w:lvlJc w:val="left"/>
      <w:pPr>
        <w:ind w:left="720" w:hanging="360"/>
      </w:pPr>
      <w:rPr>
        <w:b w:val="0"/>
        <w:bCs w:val="0"/>
        <w:sz w:val="24"/>
        <w:szCs w:val="24"/>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b w:val="0"/>
        <w:bCs w:val="0"/>
        <w:sz w:val="24"/>
        <w:szCs w:val="2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N7t30tIGrINpcG4YYGTnaDDdgw==">CgMxLjA4AHIhMUlvNTJIaUpIdmhyN0M2cnc5TUhnZXZSa0hWZ3V0bE5j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